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A64A4F">
      <w:pPr>
        <w:framePr w:w="9383" w:h="2185" w:hSpace="142" w:wrap="notBeside" w:vAnchor="text" w:hAnchor="page" w:x="1239" w:y="232"/>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A64A4F">
      <w:pPr>
        <w:pStyle w:val="Zkladntext2"/>
        <w:framePr w:w="9383" w:h="2185" w:wrap="notBeside" w:x="1239" w:y="232"/>
        <w:spacing w:before="160" w:after="160"/>
        <w:rPr>
          <w:b w:val="0"/>
          <w:bCs/>
          <w:sz w:val="22"/>
        </w:rPr>
      </w:pPr>
      <w:r w:rsidRPr="00A64A4F">
        <w:rPr>
          <w:b w:val="0"/>
          <w:bCs/>
          <w:sz w:val="22"/>
        </w:rPr>
        <w:t>na zhotovení díla</w:t>
      </w:r>
    </w:p>
    <w:p w:rsidR="00B603D7" w:rsidRPr="007A6796" w:rsidRDefault="00B603D7" w:rsidP="00A64A4F">
      <w:pPr>
        <w:pStyle w:val="Zkladntext2"/>
        <w:framePr w:w="9383" w:h="2185" w:wrap="notBeside" w:x="1239" w:y="232"/>
        <w:rPr>
          <w:sz w:val="32"/>
          <w:szCs w:val="32"/>
        </w:rPr>
      </w:pPr>
      <w:r w:rsidRPr="002565CE">
        <w:rPr>
          <w:sz w:val="32"/>
          <w:szCs w:val="32"/>
        </w:rPr>
        <w:t>„</w:t>
      </w:r>
      <w:r w:rsidR="00A17A0A" w:rsidRPr="00E30EC8">
        <w:rPr>
          <w:sz w:val="36"/>
          <w:szCs w:val="36"/>
        </w:rPr>
        <w:t>Realizace úspor energie - Konzervatoř Pardubice</w:t>
      </w:r>
      <w:r w:rsidRPr="002565CE">
        <w:rPr>
          <w:sz w:val="32"/>
          <w:szCs w:val="32"/>
        </w:rPr>
        <w:t>“</w:t>
      </w:r>
    </w:p>
    <w:p w:rsidR="009465E2" w:rsidRDefault="0023617F" w:rsidP="00A64A4F">
      <w:pPr>
        <w:pStyle w:val="Zkladntext2"/>
        <w:framePr w:w="9383" w:h="2185" w:wrap="notBeside" w:x="1239" w:y="232"/>
        <w:spacing w:before="160" w:after="160"/>
        <w:rPr>
          <w:b w:val="0"/>
          <w:bCs/>
        </w:rPr>
      </w:pPr>
      <w:r w:rsidRPr="00FE4BD7">
        <w:rPr>
          <w:b w:val="0"/>
          <w:bCs/>
          <w:sz w:val="22"/>
        </w:rPr>
        <w:t xml:space="preserve">Veřejná zakázka </w:t>
      </w:r>
      <w:r w:rsidR="00A17A0A" w:rsidRPr="00A17A0A">
        <w:rPr>
          <w:b w:val="0"/>
          <w:bCs/>
          <w:sz w:val="22"/>
        </w:rPr>
        <w:t>P17V00000151</w:t>
      </w:r>
    </w:p>
    <w:p w:rsidR="002F57D6" w:rsidRPr="007A6796" w:rsidRDefault="002F57D6" w:rsidP="00A64A4F">
      <w:pPr>
        <w:pStyle w:val="Zkladntext2"/>
        <w:framePr w:w="9383" w:h="2185" w:wrap="notBeside" w:x="1239" w:y="232"/>
        <w:jc w:val="left"/>
        <w:rPr>
          <w:b w:val="0"/>
          <w:bCs/>
        </w:rPr>
      </w:pP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Default="00A17A0A" w:rsidP="00F71CE3">
            <w:pPr>
              <w:numPr>
                <w:ilvl w:val="12"/>
                <w:numId w:val="0"/>
              </w:numPr>
              <w:spacing w:line="320" w:lineRule="exact"/>
              <w:rPr>
                <w:rFonts w:ascii="Arial" w:hAnsi="Arial" w:cs="Arial"/>
                <w:b/>
                <w:snapToGrid w:val="0"/>
                <w:sz w:val="22"/>
                <w:szCs w:val="22"/>
                <w:u w:val="single"/>
              </w:rPr>
            </w:pPr>
          </w:p>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Default="00A17A0A" w:rsidP="00F71CE3">
            <w:pPr>
              <w:numPr>
                <w:ilvl w:val="12"/>
                <w:numId w:val="0"/>
              </w:numPr>
              <w:spacing w:line="320" w:lineRule="exact"/>
              <w:rPr>
                <w:rFonts w:ascii="Arial" w:hAnsi="Arial"/>
                <w:b/>
                <w:sz w:val="22"/>
                <w:szCs w:val="22"/>
              </w:rPr>
            </w:pPr>
          </w:p>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64A4F" w:rsidRDefault="00A17A0A" w:rsidP="00A64A4F">
            <w:pPr>
              <w:numPr>
                <w:ilvl w:val="12"/>
                <w:numId w:val="0"/>
              </w:numPr>
              <w:spacing w:line="240" w:lineRule="exact"/>
              <w:ind w:left="2265"/>
              <w:rPr>
                <w:rFonts w:ascii="Arial" w:hAnsi="Arial"/>
                <w:b/>
                <w:sz w:val="22"/>
                <w:szCs w:val="22"/>
              </w:rPr>
            </w:pPr>
            <w:r w:rsidRPr="009178E4">
              <w:rPr>
                <w:rFonts w:ascii="Arial" w:hAnsi="Arial"/>
                <w:b/>
                <w:sz w:val="22"/>
                <w:szCs w:val="22"/>
              </w:rPr>
              <w:t>Ing. Jiří Kunt, Ph.D.</w:t>
            </w:r>
            <w:r>
              <w:rPr>
                <w:rFonts w:ascii="Arial" w:hAnsi="Arial"/>
                <w:sz w:val="22"/>
                <w:szCs w:val="22"/>
              </w:rPr>
              <w:t xml:space="preserve"> nebo </w:t>
            </w:r>
            <w:r w:rsidRPr="009178E4">
              <w:rPr>
                <w:rFonts w:ascii="Arial" w:hAnsi="Arial"/>
                <w:b/>
                <w:sz w:val="22"/>
                <w:szCs w:val="22"/>
              </w:rPr>
              <w:t xml:space="preserve">Ing. </w:t>
            </w:r>
            <w:r>
              <w:rPr>
                <w:rFonts w:ascii="Arial" w:hAnsi="Arial"/>
                <w:b/>
                <w:sz w:val="22"/>
                <w:szCs w:val="22"/>
              </w:rPr>
              <w:t>Jiří Zevl</w:t>
            </w:r>
            <w:r w:rsidR="005709F7">
              <w:rPr>
                <w:rFonts w:ascii="Arial" w:hAnsi="Arial"/>
                <w:b/>
                <w:sz w:val="22"/>
                <w:szCs w:val="22"/>
              </w:rPr>
              <w:t xml:space="preserve"> </w:t>
            </w:r>
          </w:p>
          <w:p w:rsidR="00A17A0A" w:rsidRPr="0015755F" w:rsidRDefault="00A64A4F" w:rsidP="00A64A4F">
            <w:pPr>
              <w:numPr>
                <w:ilvl w:val="12"/>
                <w:numId w:val="0"/>
              </w:numPr>
              <w:spacing w:line="240" w:lineRule="exact"/>
              <w:ind w:left="2265"/>
              <w:rPr>
                <w:rFonts w:ascii="Arial" w:hAnsi="Arial"/>
                <w:sz w:val="22"/>
                <w:szCs w:val="22"/>
              </w:rPr>
            </w:pPr>
            <w:r w:rsidRPr="00A64A4F">
              <w:rPr>
                <w:rFonts w:ascii="Arial" w:hAnsi="Arial"/>
                <w:sz w:val="22"/>
                <w:szCs w:val="22"/>
              </w:rPr>
              <w:t xml:space="preserve">nebo </w:t>
            </w:r>
            <w:r>
              <w:rPr>
                <w:rFonts w:ascii="Arial" w:hAnsi="Arial"/>
                <w:b/>
                <w:sz w:val="22"/>
                <w:szCs w:val="22"/>
              </w:rPr>
              <w:t>Ing. Drahomíra Brůnová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A17A0A" w:rsidP="00F71CE3">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Pr>
                <w:rFonts w:ascii="Arial" w:hAnsi="Arial"/>
                <w:b/>
                <w:sz w:val="22"/>
                <w:szCs w:val="22"/>
              </w:rPr>
              <w:t>Jiří Zevl</w:t>
            </w:r>
          </w:p>
          <w:p w:rsidR="00A17A0A" w:rsidRPr="0015755F" w:rsidRDefault="00A17A0A" w:rsidP="00F71CE3">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Pr="004C54BE">
              <w:rPr>
                <w:rFonts w:ascii="Arial" w:hAnsi="Arial"/>
                <w:b/>
                <w:sz w:val="22"/>
                <w:szCs w:val="22"/>
              </w:rPr>
              <w:t>Jiří Zevl</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4C54BE">
              <w:rPr>
                <w:rFonts w:ascii="Arial" w:hAnsi="Arial"/>
                <w:b/>
                <w:sz w:val="22"/>
                <w:szCs w:val="22"/>
              </w:rPr>
              <w:t>Jiří Zevl</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A17A0A">
              <w:rPr>
                <w:rFonts w:ascii="Arial" w:hAnsi="Arial" w:cs="Arial"/>
                <w:sz w:val="22"/>
                <w:szCs w:val="22"/>
              </w:rPr>
              <w:t>ČSOB a.s.</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006D6147" w:rsidRPr="00AD0F6E">
              <w:rPr>
                <w:rFonts w:ascii="Arial" w:hAnsi="Arial"/>
                <w:sz w:val="22"/>
              </w:rPr>
              <w:t>22</w:t>
            </w:r>
            <w:r w:rsidR="006D6147">
              <w:rPr>
                <w:rFonts w:ascii="Arial" w:hAnsi="Arial"/>
                <w:sz w:val="22"/>
              </w:rPr>
              <w:t>2907724</w:t>
            </w:r>
            <w:r w:rsidR="006D6147" w:rsidRPr="00AD0F6E">
              <w:rPr>
                <w:rFonts w:ascii="Arial" w:hAnsi="Arial"/>
                <w:sz w:val="22"/>
              </w:rPr>
              <w:t>/0300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42275D" w:rsidRPr="0042275D">
        <w:rPr>
          <w:rFonts w:ascii="Arial" w:hAnsi="Arial" w:cs="Arial"/>
          <w:sz w:val="22"/>
          <w:szCs w:val="22"/>
        </w:rPr>
        <w:t>Realizace úspor energie - Konzervatoř Pardubice</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42275D" w:rsidRPr="0042275D">
        <w:rPr>
          <w:rFonts w:cs="Arial"/>
          <w:b/>
          <w:color w:val="000000"/>
          <w:sz w:val="22"/>
          <w:lang w:val="cs-CZ"/>
        </w:rPr>
        <w:t>Realizace úspor energie - Konzervatoř Pardubice</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3F2C1E">
      <w:pPr>
        <w:pStyle w:val="Odstavec0"/>
        <w:tabs>
          <w:tab w:val="left" w:pos="284"/>
        </w:tabs>
        <w:ind w:left="284"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9E7B92" w:rsidRPr="00BD2E1F">
        <w:rPr>
          <w:rFonts w:cs="Arial"/>
          <w:sz w:val="22"/>
          <w:lang w:val="cs-CZ"/>
        </w:rPr>
        <w:t xml:space="preserve">astalon s.r.o., </w:t>
      </w:r>
      <w:r w:rsidR="003844B9">
        <w:rPr>
          <w:rFonts w:cs="Arial"/>
          <w:sz w:val="22"/>
          <w:lang w:val="cs-CZ"/>
        </w:rPr>
        <w:t>se sídlem Hůrka 54, 530 </w:t>
      </w:r>
      <w:r w:rsidR="009E7B92" w:rsidRPr="00BD2E1F">
        <w:rPr>
          <w:rFonts w:cs="Arial"/>
          <w:sz w:val="22"/>
          <w:lang w:val="cs-CZ"/>
        </w:rPr>
        <w:t xml:space="preserve">02 Pardubice, IČ 27542009 z </w:t>
      </w:r>
      <w:r w:rsidR="009E7B92">
        <w:rPr>
          <w:rFonts w:cs="Arial"/>
          <w:sz w:val="22"/>
          <w:lang w:val="cs-CZ"/>
        </w:rPr>
        <w:t>06</w:t>
      </w:r>
      <w:r w:rsidR="009E7B92" w:rsidRPr="00BD2E1F">
        <w:rPr>
          <w:rFonts w:cs="Arial"/>
          <w:sz w:val="22"/>
          <w:lang w:val="cs-CZ"/>
        </w:rPr>
        <w:t>/2016</w:t>
      </w:r>
      <w:r w:rsidR="009E7B92">
        <w:rPr>
          <w:rFonts w:cs="Arial"/>
          <w:sz w:val="22"/>
          <w:lang w:val="cs-CZ"/>
        </w:rPr>
        <w:t xml:space="preserve"> </w:t>
      </w:r>
      <w:r w:rsidR="009E7B92" w:rsidRPr="00F81A51">
        <w:rPr>
          <w:rFonts w:cs="Arial"/>
          <w:sz w:val="22"/>
          <w:lang w:val="cs-CZ"/>
        </w:rPr>
        <w:t>a podle</w:t>
      </w:r>
      <w:r w:rsidR="009E7B92">
        <w:rPr>
          <w:rFonts w:cs="Arial"/>
          <w:sz w:val="22"/>
          <w:lang w:val="cs-CZ"/>
        </w:rPr>
        <w:t xml:space="preserve"> </w:t>
      </w:r>
      <w:r w:rsidR="009E7B92" w:rsidRPr="00F81A51">
        <w:rPr>
          <w:rFonts w:cs="Arial"/>
          <w:sz w:val="22"/>
          <w:lang w:val="cs-CZ"/>
        </w:rPr>
        <w:t>podmínek stavebního povolení vydaného Magistrátem města Pardubic dne 2</w:t>
      </w:r>
      <w:r w:rsidR="009E7B92">
        <w:rPr>
          <w:rFonts w:cs="Arial"/>
          <w:sz w:val="22"/>
          <w:lang w:val="cs-CZ"/>
        </w:rPr>
        <w:t>5</w:t>
      </w:r>
      <w:r w:rsidR="009E7B92" w:rsidRPr="00F81A51">
        <w:rPr>
          <w:rFonts w:cs="Arial"/>
          <w:sz w:val="22"/>
          <w:lang w:val="cs-CZ"/>
        </w:rPr>
        <w:t xml:space="preserve">. </w:t>
      </w:r>
      <w:r w:rsidR="009E7B92">
        <w:rPr>
          <w:rFonts w:cs="Arial"/>
          <w:sz w:val="22"/>
          <w:lang w:val="cs-CZ"/>
        </w:rPr>
        <w:t>10</w:t>
      </w:r>
      <w:r w:rsidR="009E7B92" w:rsidRPr="00F81A51">
        <w:rPr>
          <w:rFonts w:cs="Arial"/>
          <w:sz w:val="22"/>
          <w:lang w:val="cs-CZ"/>
        </w:rPr>
        <w:t>. 201</w:t>
      </w:r>
      <w:r w:rsidR="009E7B92">
        <w:rPr>
          <w:rFonts w:cs="Arial"/>
          <w:sz w:val="22"/>
          <w:lang w:val="cs-CZ"/>
        </w:rPr>
        <w:t xml:space="preserve">8 </w:t>
      </w:r>
      <w:r w:rsidR="009E7B92" w:rsidRPr="00F81A51">
        <w:rPr>
          <w:rFonts w:cs="Arial"/>
          <w:sz w:val="22"/>
          <w:lang w:val="cs-CZ"/>
        </w:rPr>
        <w:t xml:space="preserve">pod č.j. </w:t>
      </w:r>
      <w:r w:rsidR="009E7B92">
        <w:rPr>
          <w:rFonts w:cs="Arial"/>
          <w:sz w:val="22"/>
          <w:lang w:val="cs-CZ"/>
        </w:rPr>
        <w:t>MmP 89294/</w:t>
      </w:r>
      <w:r w:rsidR="009E7B92" w:rsidRPr="00F81A51">
        <w:rPr>
          <w:rFonts w:cs="Arial"/>
          <w:sz w:val="22"/>
          <w:lang w:val="cs-CZ"/>
        </w:rPr>
        <w:t>201</w:t>
      </w:r>
      <w:r w:rsidR="009E7B92">
        <w:rPr>
          <w:rFonts w:cs="Arial"/>
          <w:sz w:val="22"/>
          <w:lang w:val="cs-CZ"/>
        </w:rPr>
        <w:t>8</w:t>
      </w:r>
      <w:r w:rsidR="009E7B92" w:rsidRPr="00F81A51">
        <w:rPr>
          <w:rFonts w:cs="Arial"/>
          <w:sz w:val="22"/>
          <w:lang w:val="cs-CZ"/>
        </w:rPr>
        <w:t>. Stavební povolení je součástí dokladové části projektové</w:t>
      </w:r>
      <w:r w:rsidR="009E7B92">
        <w:rPr>
          <w:rFonts w:cs="Arial"/>
          <w:sz w:val="22"/>
          <w:lang w:val="cs-CZ"/>
        </w:rPr>
        <w:t xml:space="preserve"> </w:t>
      </w:r>
      <w:r w:rsidR="009E7B92" w:rsidRPr="00F81A51">
        <w:rPr>
          <w:rFonts w:cs="Arial"/>
          <w:sz w:val="22"/>
          <w:lang w:val="cs-CZ"/>
        </w:rPr>
        <w:t>dokumentace</w:t>
      </w:r>
      <w:r w:rsidR="003844B9">
        <w:rPr>
          <w:rFonts w:cs="Arial"/>
          <w:sz w:val="22"/>
          <w:lang w:val="cs-CZ"/>
        </w:rPr>
        <w:t xml:space="preserve">. </w:t>
      </w:r>
      <w:r w:rsidR="00591C63" w:rsidRPr="00364C67">
        <w:rPr>
          <w:rFonts w:cs="Arial"/>
          <w:sz w:val="22"/>
          <w:szCs w:val="24"/>
          <w:lang w:val="cs-CZ"/>
        </w:rPr>
        <w:t>Provedení díla</w:t>
      </w:r>
      <w:r w:rsidR="00591C63" w:rsidRPr="00364C67">
        <w:rPr>
          <w:rFonts w:cs="Arial"/>
          <w:sz w:val="22"/>
          <w:lang w:val="cs-CZ"/>
        </w:rPr>
        <w:t xml:space="preserve"> zahrnuje zejména tyto činnosti:</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3844B9">
        <w:rPr>
          <w:rFonts w:ascii="Arial" w:hAnsi="Arial" w:cs="Arial"/>
          <w:color w:val="000000"/>
          <w:sz w:val="22"/>
        </w:rPr>
        <w:t>vydaným stavebním povolením</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Default="00147C6E" w:rsidP="00147C6E">
      <w:pPr>
        <w:tabs>
          <w:tab w:val="num" w:pos="360"/>
        </w:tabs>
        <w:autoSpaceDE w:val="0"/>
        <w:autoSpaceDN w:val="0"/>
        <w:adjustRightInd w:val="0"/>
        <w:rPr>
          <w:rFonts w:ascii="Arial" w:hAnsi="Arial" w:cs="Arial"/>
        </w:rPr>
      </w:pPr>
    </w:p>
    <w:p w:rsidR="00F97B3F" w:rsidRPr="00F97B3F" w:rsidRDefault="00F97B3F" w:rsidP="00147C6E">
      <w:pPr>
        <w:tabs>
          <w:tab w:val="num" w:pos="360"/>
        </w:tabs>
        <w:autoSpaceDE w:val="0"/>
        <w:autoSpaceDN w:val="0"/>
        <w:adjustRightInd w:val="0"/>
        <w:rPr>
          <w:rFonts w:ascii="Arial" w:hAnsi="Arial" w:cs="Arial"/>
        </w:rPr>
      </w:pPr>
    </w:p>
    <w:p w:rsidR="0042275D" w:rsidRPr="00F97B3F" w:rsidRDefault="0042275D"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3F2C1E">
        <w:rPr>
          <w:rFonts w:ascii="Arial" w:hAnsi="Arial" w:cs="Arial"/>
          <w:b/>
          <w:sz w:val="22"/>
        </w:rPr>
        <w:t>1</w:t>
      </w:r>
      <w:r w:rsidR="00BB5D4A">
        <w:rPr>
          <w:rFonts w:ascii="Arial" w:hAnsi="Arial" w:cs="Arial"/>
          <w:b/>
          <w:sz w:val="22"/>
        </w:rPr>
        <w:t xml:space="preserve">. </w:t>
      </w:r>
      <w:r w:rsidR="00F97B3F">
        <w:rPr>
          <w:rFonts w:ascii="Arial" w:hAnsi="Arial" w:cs="Arial"/>
          <w:b/>
          <w:sz w:val="22"/>
        </w:rPr>
        <w:t>6</w:t>
      </w:r>
      <w:r w:rsidR="000E005C">
        <w:rPr>
          <w:rFonts w:ascii="Arial" w:hAnsi="Arial" w:cs="Arial"/>
          <w:b/>
          <w:sz w:val="22"/>
        </w:rPr>
        <w:t>. 201</w:t>
      </w:r>
      <w:r w:rsidR="008553DF">
        <w:rPr>
          <w:rFonts w:ascii="Arial" w:hAnsi="Arial" w:cs="Arial"/>
          <w:b/>
          <w:sz w:val="22"/>
        </w:rPr>
        <w:t>9</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w:t>
      </w:r>
      <w:r w:rsidR="00F97B3F">
        <w:rPr>
          <w:rFonts w:ascii="Arial" w:hAnsi="Arial" w:cs="Arial"/>
          <w:b/>
          <w:sz w:val="22"/>
        </w:rPr>
        <w:t>0</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0564F5" w:rsidRDefault="00477938" w:rsidP="0044525F">
      <w:pPr>
        <w:pStyle w:val="Textvbloku"/>
        <w:numPr>
          <w:ilvl w:val="0"/>
          <w:numId w:val="7"/>
        </w:numPr>
        <w:tabs>
          <w:tab w:val="clear" w:pos="720"/>
          <w:tab w:val="num" w:pos="284"/>
          <w:tab w:val="num" w:pos="426"/>
        </w:tabs>
        <w:spacing w:after="120"/>
        <w:ind w:left="284" w:right="0" w:hanging="284"/>
        <w:rPr>
          <w:i/>
          <w:sz w:val="22"/>
        </w:rPr>
      </w:pPr>
      <w:r w:rsidRPr="000564F5">
        <w:rPr>
          <w:sz w:val="22"/>
        </w:rPr>
        <w:t xml:space="preserve">Zhotovitel se zavazuje dokončit </w:t>
      </w:r>
      <w:r w:rsidR="000A424C" w:rsidRPr="000564F5">
        <w:rPr>
          <w:sz w:val="22"/>
        </w:rPr>
        <w:t>sjednané</w:t>
      </w:r>
      <w:r w:rsidRPr="000564F5">
        <w:rPr>
          <w:sz w:val="22"/>
        </w:rPr>
        <w:t xml:space="preserve"> práce a zároveň předat předmět díla</w:t>
      </w:r>
      <w:r w:rsidR="003C0B15" w:rsidRPr="000564F5">
        <w:rPr>
          <w:sz w:val="22"/>
        </w:rPr>
        <w:t xml:space="preserve"> dle čl. I. smlouvy objednateli nejpozději </w:t>
      </w:r>
      <w:r w:rsidR="003C0B15" w:rsidRPr="00A64A4F">
        <w:rPr>
          <w:sz w:val="22"/>
        </w:rPr>
        <w:t>do</w:t>
      </w:r>
      <w:r w:rsidR="00656A8B" w:rsidRPr="00A64A4F">
        <w:rPr>
          <w:sz w:val="22"/>
        </w:rPr>
        <w:t xml:space="preserve"> </w:t>
      </w:r>
      <w:r w:rsidR="006D3D3F" w:rsidRPr="00A64A4F">
        <w:rPr>
          <w:b/>
          <w:sz w:val="22"/>
        </w:rPr>
        <w:t>3</w:t>
      </w:r>
      <w:r w:rsidR="003F2C1E" w:rsidRPr="00A64A4F">
        <w:rPr>
          <w:b/>
          <w:sz w:val="22"/>
        </w:rPr>
        <w:t>1</w:t>
      </w:r>
      <w:r w:rsidR="00D4426D" w:rsidRPr="00A64A4F">
        <w:rPr>
          <w:b/>
          <w:sz w:val="22"/>
        </w:rPr>
        <w:t xml:space="preserve">. </w:t>
      </w:r>
      <w:r w:rsidR="00F97B3F" w:rsidRPr="00A64A4F">
        <w:rPr>
          <w:b/>
          <w:sz w:val="22"/>
        </w:rPr>
        <w:t>8</w:t>
      </w:r>
      <w:r w:rsidR="00D4426D" w:rsidRPr="00A64A4F">
        <w:rPr>
          <w:b/>
          <w:sz w:val="22"/>
        </w:rPr>
        <w:t>. 20</w:t>
      </w:r>
      <w:r w:rsidR="00F97B3F" w:rsidRPr="00A64A4F">
        <w:rPr>
          <w:b/>
          <w:sz w:val="22"/>
        </w:rPr>
        <w:t>20</w:t>
      </w:r>
      <w:r w:rsidRPr="00A64A4F">
        <w:rPr>
          <w:sz w:val="22"/>
        </w:rPr>
        <w:t>,</w:t>
      </w:r>
      <w:r w:rsidRPr="000564F5">
        <w:rPr>
          <w:sz w:val="22"/>
        </w:rPr>
        <w:t xml:space="preserve"> přičemž je srozuměn s tím, že pozdější předání a převzetí může mít ve vztahu k poskytnuté dotaci vliv na uznatelnost nákladů spojených s prováděním stavby</w:t>
      </w:r>
      <w:r w:rsidR="00AC186B" w:rsidRPr="000564F5">
        <w:rPr>
          <w:sz w:val="22"/>
        </w:rPr>
        <w:t xml:space="preserve"> a tím i vznikem škody objednateli</w:t>
      </w:r>
      <w:r w:rsidRPr="000564F5">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8553DF" w:rsidRPr="00591C63" w:rsidRDefault="00375D60" w:rsidP="00F97B3F">
      <w:pPr>
        <w:pStyle w:val="Textvbloku"/>
        <w:numPr>
          <w:ilvl w:val="0"/>
          <w:numId w:val="7"/>
        </w:numPr>
        <w:tabs>
          <w:tab w:val="clear" w:pos="720"/>
          <w:tab w:val="num" w:pos="284"/>
        </w:tabs>
        <w:spacing w:after="120"/>
        <w:ind w:right="0" w:hanging="720"/>
        <w:rPr>
          <w:sz w:val="22"/>
        </w:rPr>
      </w:pPr>
      <w:r w:rsidRPr="007B16B7">
        <w:rPr>
          <w:sz w:val="22"/>
        </w:rPr>
        <w:t>Místem plnění j</w:t>
      </w:r>
      <w:r w:rsidR="00DC0C37" w:rsidRPr="007B16B7">
        <w:rPr>
          <w:sz w:val="22"/>
        </w:rPr>
        <w:t>e</w:t>
      </w:r>
      <w:r w:rsidR="008553DF" w:rsidRPr="00591C63">
        <w:rPr>
          <w:sz w:val="22"/>
        </w:rPr>
        <w:t xml:space="preserve"> </w:t>
      </w:r>
      <w:r w:rsidR="00F97B3F">
        <w:rPr>
          <w:sz w:val="22"/>
        </w:rPr>
        <w:t xml:space="preserve">budova </w:t>
      </w:r>
      <w:r w:rsidR="00F97B3F" w:rsidRPr="00F97B3F">
        <w:rPr>
          <w:sz w:val="22"/>
        </w:rPr>
        <w:t>Konzervatoř</w:t>
      </w:r>
      <w:r w:rsidR="00F97B3F">
        <w:rPr>
          <w:sz w:val="22"/>
        </w:rPr>
        <w:t>e</w:t>
      </w:r>
      <w:r w:rsidR="00F97B3F" w:rsidRPr="00F97B3F">
        <w:rPr>
          <w:sz w:val="22"/>
        </w:rPr>
        <w:t xml:space="preserve"> Pardubice, Sukova třída 1260, 530 02 Pardubice</w:t>
      </w:r>
      <w:r w:rsidR="008553DF" w:rsidRPr="00591C63">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645881">
        <w:rPr>
          <w:b/>
          <w:sz w:val="22"/>
        </w:rPr>
        <w:t>10</w:t>
      </w:r>
      <w:r w:rsidR="00121697" w:rsidRPr="00DE04D6">
        <w:rPr>
          <w:b/>
          <w:sz w:val="22"/>
        </w:rPr>
        <w:t xml:space="preserve"> mil.</w:t>
      </w:r>
      <w:r w:rsidRPr="00DE04D6">
        <w:rPr>
          <w:b/>
          <w:sz w:val="22"/>
        </w:rPr>
        <w:t xml:space="preserve"> Kč</w:t>
      </w:r>
      <w:r w:rsidRPr="00DE04D6">
        <w:rPr>
          <w:sz w:val="22"/>
        </w:rPr>
        <w:t>. Zhotovitel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C434EC" w:rsidRPr="00C434EC" w:rsidRDefault="00C434EC" w:rsidP="000564F5">
      <w:pPr>
        <w:pStyle w:val="Odstavecseseznamem"/>
        <w:numPr>
          <w:ilvl w:val="0"/>
          <w:numId w:val="7"/>
        </w:numPr>
        <w:tabs>
          <w:tab w:val="clear" w:pos="720"/>
        </w:tabs>
        <w:spacing w:after="120"/>
        <w:ind w:left="284" w:hanging="284"/>
        <w:jc w:val="both"/>
        <w:rPr>
          <w:rFonts w:ascii="Arial" w:hAnsi="Arial" w:cs="Arial"/>
          <w:sz w:val="22"/>
          <w:szCs w:val="22"/>
        </w:rPr>
      </w:pPr>
      <w:r w:rsidRPr="00C434EC">
        <w:rPr>
          <w:rFonts w:ascii="Arial" w:hAnsi="Arial" w:cs="Arial"/>
          <w:color w:val="000000"/>
          <w:sz w:val="22"/>
        </w:rPr>
        <w:lastRenderedPageBreak/>
        <w:t>Zhotovitel bere na vědomí, že objednatel uplatní předmět díla k financování z dotačních prostředků</w:t>
      </w:r>
      <w:r w:rsidRPr="00C434EC">
        <w:rPr>
          <w:rFonts w:ascii="Arial" w:hAnsi="Arial" w:cs="Arial"/>
          <w:b/>
          <w:color w:val="000000"/>
          <w:sz w:val="22"/>
        </w:rPr>
        <w:t xml:space="preserve"> </w:t>
      </w:r>
      <w:r w:rsidR="00591C63">
        <w:rPr>
          <w:rFonts w:ascii="Arial" w:hAnsi="Arial" w:cs="Arial"/>
          <w:b/>
          <w:color w:val="000000"/>
          <w:sz w:val="22"/>
        </w:rPr>
        <w:t xml:space="preserve">Operačního programu </w:t>
      </w:r>
      <w:r w:rsidR="00573635">
        <w:rPr>
          <w:rFonts w:ascii="Arial" w:hAnsi="Arial" w:cs="Arial"/>
          <w:b/>
          <w:color w:val="000000"/>
          <w:sz w:val="22"/>
        </w:rPr>
        <w:t>Ž</w:t>
      </w:r>
      <w:r w:rsidR="00591C63">
        <w:rPr>
          <w:rFonts w:ascii="Arial" w:hAnsi="Arial" w:cs="Arial"/>
          <w:b/>
          <w:color w:val="000000"/>
          <w:sz w:val="22"/>
        </w:rPr>
        <w:t>ivotní prostředí</w:t>
      </w:r>
      <w:r w:rsidRPr="00C434EC">
        <w:rPr>
          <w:rFonts w:ascii="Arial" w:hAnsi="Arial" w:cs="Arial"/>
          <w:color w:val="000000"/>
          <w:sz w:val="22"/>
        </w:rPr>
        <w:t>.</w:t>
      </w:r>
      <w:r w:rsidRPr="00C434EC">
        <w:rPr>
          <w:rFonts w:ascii="Arial" w:hAnsi="Arial" w:cs="Arial"/>
          <w:sz w:val="22"/>
        </w:rPr>
        <w:t xml:space="preserve"> Vybrané povinnosti s tím související jsou uvedeny v příloze č. 4 této smlouvy</w:t>
      </w:r>
      <w:r>
        <w:rPr>
          <w:rFonts w:ascii="Arial" w:hAnsi="Arial" w:cs="Arial"/>
          <w:sz w:val="22"/>
        </w:rPr>
        <w:t>.</w:t>
      </w:r>
    </w:p>
    <w:p w:rsidR="00F97B3F" w:rsidRDefault="00F97B3F"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 xml:space="preserve">Tento postup </w:t>
      </w:r>
      <w:r w:rsidR="009F3D71" w:rsidRPr="007F2C7C">
        <w:rPr>
          <w:rFonts w:ascii="Arial" w:hAnsi="Arial" w:cs="Arial"/>
          <w:sz w:val="22"/>
        </w:rPr>
        <w:lastRenderedPageBreak/>
        <w:t>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F97B3F" w:rsidRDefault="00F97B3F"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F97B3F">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 xml:space="preserve">Povinnosti zhotovitele stavby vyplývající z finanční spoluúčasti evropských fondů na přípravě a realizaci projektů v rámci </w:t>
      </w:r>
      <w:r w:rsidR="00591C63">
        <w:rPr>
          <w:rFonts w:ascii="Arial" w:hAnsi="Arial" w:cs="Arial"/>
          <w:sz w:val="22"/>
        </w:rPr>
        <w:t xml:space="preserve">Operačního programu </w:t>
      </w:r>
      <w:r w:rsidR="00573635">
        <w:rPr>
          <w:rFonts w:ascii="Arial" w:hAnsi="Arial" w:cs="Arial"/>
          <w:sz w:val="22"/>
        </w:rPr>
        <w:t>Životní</w:t>
      </w:r>
      <w:r w:rsidR="003D4B5B">
        <w:rPr>
          <w:rFonts w:ascii="Arial" w:hAnsi="Arial" w:cs="Arial"/>
          <w:sz w:val="22"/>
        </w:rPr>
        <w:t xml:space="preserve"> prostředí</w:t>
      </w:r>
    </w:p>
    <w:p w:rsidR="00C434EC" w:rsidRDefault="00C434EC"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bankovní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F97B3F">
      <w:headerReference w:type="even" r:id="rId8"/>
      <w:headerReference w:type="default" r:id="rId9"/>
      <w:footerReference w:type="even" r:id="rId10"/>
      <w:footerReference w:type="default" r:id="rId11"/>
      <w:headerReference w:type="first" r:id="rId12"/>
      <w:footerReference w:type="first" r:id="rId13"/>
      <w:pgSz w:w="11907" w:h="16840" w:code="9"/>
      <w:pgMar w:top="-993" w:right="1418" w:bottom="851" w:left="1418" w:header="142" w:footer="44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C0D" w:rsidRDefault="007A1C0D">
      <w:r>
        <w:separator/>
      </w:r>
    </w:p>
  </w:endnote>
  <w:endnote w:type="continuationSeparator" w:id="0">
    <w:p w:rsidR="007A1C0D" w:rsidRDefault="007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EE19E6">
      <w:rPr>
        <w:rFonts w:ascii="Arial" w:hAnsi="Arial" w:cs="Arial"/>
        <w:noProof/>
        <w:sz w:val="18"/>
        <w:szCs w:val="18"/>
      </w:rPr>
      <w:t>4</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EE19E6">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EE19E6">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EE19E6">
      <w:rPr>
        <w:rFonts w:ascii="Arial" w:hAnsi="Arial" w:cs="Arial"/>
        <w:noProof/>
        <w:sz w:val="18"/>
        <w:szCs w:val="18"/>
      </w:rPr>
      <w:t>6</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C0D" w:rsidRDefault="007A1C0D">
      <w:r>
        <w:separator/>
      </w:r>
    </w:p>
  </w:footnote>
  <w:footnote w:type="continuationSeparator" w:id="0">
    <w:p w:rsidR="007A1C0D" w:rsidRDefault="007A1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9E6" w:rsidRDefault="00EE19E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p w:rsidR="00A1246E" w:rsidRDefault="00A124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844B9"/>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91C63"/>
    <w:rsid w:val="00594887"/>
    <w:rsid w:val="00597FA8"/>
    <w:rsid w:val="005A5E79"/>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45881"/>
    <w:rsid w:val="00650867"/>
    <w:rsid w:val="006519EC"/>
    <w:rsid w:val="006546D2"/>
    <w:rsid w:val="00656A8B"/>
    <w:rsid w:val="00667165"/>
    <w:rsid w:val="0067334B"/>
    <w:rsid w:val="006741C3"/>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D6147"/>
    <w:rsid w:val="006E1B9A"/>
    <w:rsid w:val="006E2F4B"/>
    <w:rsid w:val="006E4319"/>
    <w:rsid w:val="006F0C7F"/>
    <w:rsid w:val="006F227D"/>
    <w:rsid w:val="006F6363"/>
    <w:rsid w:val="00707BD3"/>
    <w:rsid w:val="00712952"/>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1C0D"/>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5340"/>
    <w:rsid w:val="00B06FE7"/>
    <w:rsid w:val="00B07B03"/>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12B8E"/>
    <w:rsid w:val="00D23592"/>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19E6"/>
    <w:rsid w:val="00EE3E37"/>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1DB5"/>
    <w:rsid w:val="00F52858"/>
    <w:rsid w:val="00F64A22"/>
    <w:rsid w:val="00F6641B"/>
    <w:rsid w:val="00F667E6"/>
    <w:rsid w:val="00F76889"/>
    <w:rsid w:val="00F76E12"/>
    <w:rsid w:val="00F815D1"/>
    <w:rsid w:val="00F851B7"/>
    <w:rsid w:val="00F85D8B"/>
    <w:rsid w:val="00F90F09"/>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661AE-5560-4F1F-AD81-FF0CF6BC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6</Pages>
  <Words>2430</Words>
  <Characters>14340</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Zevl Jiří Ing.</cp:lastModifiedBy>
  <cp:revision>39</cp:revision>
  <cp:lastPrinted>2013-04-25T07:05:00Z</cp:lastPrinted>
  <dcterms:created xsi:type="dcterms:W3CDTF">2017-12-05T08:00:00Z</dcterms:created>
  <dcterms:modified xsi:type="dcterms:W3CDTF">2019-03-20T13:29:00Z</dcterms:modified>
</cp:coreProperties>
</file>